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EDE55" w14:textId="64F4B1B8" w:rsidR="00B1100D" w:rsidRDefault="0027270C" w:rsidP="0027270C">
      <w:pPr>
        <w:pStyle w:val="NormalnyWeb"/>
        <w:spacing w:before="0" w:beforeAutospacing="0" w:after="0" w:afterAutospacing="0"/>
        <w:jc w:val="right"/>
        <w:textAlignment w:val="baseline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C00000"/>
          <w:spacing w:val="-10"/>
          <w:kern w:val="28"/>
          <w:sz w:val="44"/>
          <w:szCs w:val="44"/>
          <w:lang w:eastAsia="en-US"/>
        </w:rPr>
        <w:t>S</w:t>
      </w:r>
      <w:r w:rsidRPr="0027270C">
        <w:rPr>
          <w:rFonts w:ascii="Arial" w:hAnsi="Arial" w:cs="Arial"/>
          <w:color w:val="C00000"/>
          <w:spacing w:val="-10"/>
          <w:kern w:val="28"/>
          <w:sz w:val="44"/>
          <w:szCs w:val="44"/>
          <w:lang w:eastAsia="en-US"/>
        </w:rPr>
        <w:t>tudium przypadku</w:t>
      </w:r>
      <w:r w:rsidR="0093444F">
        <w:rPr>
          <w:rFonts w:ascii="Arial" w:hAnsi="Arial" w:cs="Arial"/>
          <w:color w:val="C00000"/>
          <w:spacing w:val="-10"/>
          <w:kern w:val="28"/>
          <w:sz w:val="44"/>
          <w:szCs w:val="44"/>
          <w:lang w:eastAsia="en-US"/>
        </w:rPr>
        <w:t xml:space="preserve">: </w:t>
      </w:r>
      <w:r w:rsidR="009B20E5" w:rsidRPr="009B20E5">
        <w:rPr>
          <w:rFonts w:ascii="Arial" w:hAnsi="Arial" w:cs="Arial"/>
          <w:color w:val="C00000"/>
          <w:spacing w:val="-10"/>
          <w:kern w:val="28"/>
          <w:sz w:val="44"/>
          <w:szCs w:val="44"/>
          <w:lang w:eastAsia="en-US"/>
        </w:rPr>
        <w:t>System gaszenia iskier dla branży tekstylnej, czyli dlaczego siostra nie zawsze jest dobrym wzorem</w:t>
      </w:r>
    </w:p>
    <w:p w14:paraId="752B05DA" w14:textId="77777777" w:rsidR="0027270C" w:rsidRDefault="0027270C" w:rsidP="0027270C">
      <w:pPr>
        <w:pStyle w:val="NormalnyWeb"/>
        <w:spacing w:before="0" w:beforeAutospacing="0" w:after="0" w:afterAutospacing="0"/>
        <w:jc w:val="right"/>
        <w:textAlignment w:val="baseline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7DD51D48" w14:textId="2E6F0BF8" w:rsidR="0039726F" w:rsidRDefault="0039726F" w:rsidP="0027270C">
      <w:pPr>
        <w:pStyle w:val="NormalnyWeb"/>
        <w:spacing w:before="0" w:beforeAutospacing="0" w:after="0" w:afterAutospacing="0"/>
        <w:jc w:val="right"/>
        <w:textAlignment w:val="baseline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GRUPA</w:t>
      </w:r>
      <w:r w:rsidRPr="005D0B1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WOLFF</w:t>
      </w:r>
    </w:p>
    <w:p w14:paraId="73D143D8" w14:textId="77777777" w:rsidR="0039726F" w:rsidRDefault="0039726F" w:rsidP="0027270C">
      <w:pPr>
        <w:pStyle w:val="Normalny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03BDD94" w14:textId="77777777" w:rsidR="00E95F10" w:rsidRDefault="00E95F10" w:rsidP="0093444F">
      <w:pPr>
        <w:spacing w:line="240" w:lineRule="auto"/>
        <w:rPr>
          <w:rStyle w:val="Pogrubienie"/>
          <w:rFonts w:ascii="Arial" w:eastAsia="Times New Roman" w:hAnsi="Arial" w:cs="Arial"/>
          <w:color w:val="141414"/>
          <w:bdr w:val="none" w:sz="0" w:space="0" w:color="auto" w:frame="1"/>
          <w:lang w:eastAsia="pl-PL"/>
        </w:rPr>
      </w:pPr>
    </w:p>
    <w:p w14:paraId="0432286F" w14:textId="562EE609" w:rsidR="0093444F" w:rsidRPr="0093444F" w:rsidRDefault="0093444F" w:rsidP="0093444F">
      <w:pPr>
        <w:spacing w:line="240" w:lineRule="auto"/>
        <w:rPr>
          <w:rStyle w:val="Pogrubienie"/>
          <w:rFonts w:ascii="Arial" w:eastAsia="Times New Roman" w:hAnsi="Arial" w:cs="Arial"/>
          <w:color w:val="141414"/>
          <w:bdr w:val="none" w:sz="0" w:space="0" w:color="auto" w:frame="1"/>
          <w:lang w:eastAsia="pl-PL"/>
        </w:rPr>
      </w:pPr>
      <w:r w:rsidRPr="0093444F">
        <w:rPr>
          <w:rStyle w:val="Pogrubienie"/>
          <w:rFonts w:ascii="Arial" w:eastAsia="Times New Roman" w:hAnsi="Arial" w:cs="Arial"/>
          <w:color w:val="141414"/>
          <w:bdr w:val="none" w:sz="0" w:space="0" w:color="auto" w:frame="1"/>
          <w:lang w:eastAsia="pl-PL"/>
        </w:rPr>
        <w:t>Problem:</w:t>
      </w:r>
    </w:p>
    <w:p w14:paraId="52C4E073" w14:textId="77777777" w:rsidR="009B20E5" w:rsidRPr="009B20E5" w:rsidRDefault="009B20E5" w:rsidP="009B20E5">
      <w:pPr>
        <w:pStyle w:val="Akapitzlist"/>
        <w:numPr>
          <w:ilvl w:val="0"/>
          <w:numId w:val="11"/>
        </w:numPr>
        <w:spacing w:line="240" w:lineRule="auto"/>
        <w:rPr>
          <w:rStyle w:val="Pogrubienie"/>
          <w:rFonts w:ascii="Arial" w:eastAsia="Times New Roman" w:hAnsi="Arial" w:cs="Arial"/>
          <w:b w:val="0"/>
          <w:bCs w:val="0"/>
          <w:color w:val="141414"/>
          <w:bdr w:val="none" w:sz="0" w:space="0" w:color="auto" w:frame="1"/>
          <w:lang w:eastAsia="pl-PL"/>
        </w:rPr>
      </w:pPr>
      <w:r w:rsidRPr="009B20E5">
        <w:rPr>
          <w:rStyle w:val="Pogrubienie"/>
          <w:rFonts w:ascii="Arial" w:eastAsia="Times New Roman" w:hAnsi="Arial" w:cs="Arial"/>
          <w:b w:val="0"/>
          <w:bCs w:val="0"/>
          <w:color w:val="141414"/>
          <w:bdr w:val="none" w:sz="0" w:space="0" w:color="auto" w:frame="1"/>
          <w:lang w:eastAsia="pl-PL"/>
        </w:rPr>
        <w:t>do rozwłókniacza, poprzez kanał, którym podawany jest materiał tekstylny, mogą zostać zaciągnięte iskry lub gorące cząstki</w:t>
      </w:r>
    </w:p>
    <w:p w14:paraId="65E36BE0" w14:textId="77777777" w:rsidR="009B20E5" w:rsidRPr="009B20E5" w:rsidRDefault="009B20E5" w:rsidP="009B20E5">
      <w:pPr>
        <w:pStyle w:val="Akapitzlist"/>
        <w:numPr>
          <w:ilvl w:val="0"/>
          <w:numId w:val="11"/>
        </w:numPr>
        <w:spacing w:line="240" w:lineRule="auto"/>
        <w:rPr>
          <w:rStyle w:val="Pogrubienie"/>
          <w:rFonts w:ascii="Arial" w:eastAsia="Times New Roman" w:hAnsi="Arial" w:cs="Arial"/>
          <w:b w:val="0"/>
          <w:bCs w:val="0"/>
          <w:color w:val="141414"/>
          <w:bdr w:val="none" w:sz="0" w:space="0" w:color="auto" w:frame="1"/>
          <w:lang w:eastAsia="pl-PL"/>
        </w:rPr>
      </w:pPr>
      <w:r w:rsidRPr="009B20E5">
        <w:rPr>
          <w:rStyle w:val="Pogrubienie"/>
          <w:rFonts w:ascii="Arial" w:eastAsia="Times New Roman" w:hAnsi="Arial" w:cs="Arial"/>
          <w:b w:val="0"/>
          <w:bCs w:val="0"/>
          <w:color w:val="141414"/>
          <w:bdr w:val="none" w:sz="0" w:space="0" w:color="auto" w:frame="1"/>
          <w:lang w:eastAsia="pl-PL"/>
        </w:rPr>
        <w:t>ocena ryzyka ubezpieczyciela wykazała w tym obszarze nieakceptowalny poziom ryzyka pożarowego / wybuchowego</w:t>
      </w:r>
    </w:p>
    <w:p w14:paraId="383DFD84" w14:textId="60AE50E2" w:rsidR="0093444F" w:rsidRPr="009B20E5" w:rsidRDefault="009B20E5" w:rsidP="009B20E5">
      <w:pPr>
        <w:pStyle w:val="Akapitzlist"/>
        <w:numPr>
          <w:ilvl w:val="0"/>
          <w:numId w:val="11"/>
        </w:numPr>
        <w:spacing w:line="240" w:lineRule="auto"/>
        <w:rPr>
          <w:rStyle w:val="Pogrubienie"/>
          <w:rFonts w:ascii="Arial" w:eastAsia="Times New Roman" w:hAnsi="Arial" w:cs="Arial"/>
          <w:b w:val="0"/>
          <w:bCs w:val="0"/>
          <w:color w:val="141414"/>
          <w:bdr w:val="none" w:sz="0" w:space="0" w:color="auto" w:frame="1"/>
          <w:lang w:eastAsia="pl-PL"/>
        </w:rPr>
      </w:pPr>
      <w:r w:rsidRPr="009B20E5">
        <w:rPr>
          <w:rStyle w:val="Pogrubienie"/>
          <w:rFonts w:ascii="Arial" w:eastAsia="Times New Roman" w:hAnsi="Arial" w:cs="Arial"/>
          <w:b w:val="0"/>
          <w:bCs w:val="0"/>
          <w:color w:val="141414"/>
          <w:bdr w:val="none" w:sz="0" w:space="0" w:color="auto" w:frame="1"/>
          <w:lang w:eastAsia="pl-PL"/>
        </w:rPr>
        <w:t>inwestor oczekiwał zastosowania analogicznego rozwiązania jak w siostrzanym zakładzie (system gaszenia CO</w:t>
      </w:r>
      <w:r w:rsidRPr="009B20E5">
        <w:rPr>
          <w:rStyle w:val="Pogrubienie"/>
          <w:rFonts w:ascii="Arial" w:eastAsia="Times New Roman" w:hAnsi="Arial" w:cs="Arial"/>
          <w:b w:val="0"/>
          <w:bCs w:val="0"/>
          <w:color w:val="141414"/>
          <w:bdr w:val="none" w:sz="0" w:space="0" w:color="auto" w:frame="1"/>
          <w:vertAlign w:val="subscript"/>
          <w:lang w:eastAsia="pl-PL"/>
        </w:rPr>
        <w:t>2</w:t>
      </w:r>
      <w:r w:rsidRPr="009B20E5">
        <w:rPr>
          <w:rStyle w:val="Pogrubienie"/>
          <w:rFonts w:ascii="Arial" w:eastAsia="Times New Roman" w:hAnsi="Arial" w:cs="Arial"/>
          <w:b w:val="0"/>
          <w:bCs w:val="0"/>
          <w:color w:val="141414"/>
          <w:bdr w:val="none" w:sz="0" w:space="0" w:color="auto" w:frame="1"/>
          <w:lang w:eastAsia="pl-PL"/>
        </w:rPr>
        <w:t>), które w tym przypadku mogło stanowić zagrożenie dla personelu</w:t>
      </w:r>
    </w:p>
    <w:p w14:paraId="2BDC36B6" w14:textId="77777777" w:rsidR="0093444F" w:rsidRPr="0093444F" w:rsidRDefault="0093444F" w:rsidP="0093444F">
      <w:pPr>
        <w:spacing w:line="240" w:lineRule="auto"/>
        <w:rPr>
          <w:rStyle w:val="Pogrubienie"/>
          <w:rFonts w:ascii="Arial" w:eastAsia="Times New Roman" w:hAnsi="Arial" w:cs="Arial"/>
          <w:color w:val="141414"/>
          <w:bdr w:val="none" w:sz="0" w:space="0" w:color="auto" w:frame="1"/>
          <w:lang w:eastAsia="pl-PL"/>
        </w:rPr>
      </w:pPr>
      <w:r w:rsidRPr="0093444F">
        <w:rPr>
          <w:rStyle w:val="Pogrubienie"/>
          <w:rFonts w:ascii="Arial" w:eastAsia="Times New Roman" w:hAnsi="Arial" w:cs="Arial"/>
          <w:color w:val="141414"/>
          <w:bdr w:val="none" w:sz="0" w:space="0" w:color="auto" w:frame="1"/>
          <w:lang w:eastAsia="pl-PL"/>
        </w:rPr>
        <w:t>Rozwiązanie:</w:t>
      </w:r>
    </w:p>
    <w:p w14:paraId="4BDD23A0" w14:textId="77777777" w:rsidR="009B20E5" w:rsidRPr="009B20E5" w:rsidRDefault="009B20E5" w:rsidP="009B20E5">
      <w:pPr>
        <w:pStyle w:val="Akapitzlist"/>
        <w:numPr>
          <w:ilvl w:val="0"/>
          <w:numId w:val="12"/>
        </w:numPr>
        <w:spacing w:line="240" w:lineRule="auto"/>
        <w:rPr>
          <w:rStyle w:val="Pogrubienie"/>
          <w:rFonts w:ascii="Arial" w:eastAsia="Times New Roman" w:hAnsi="Arial" w:cs="Arial"/>
          <w:b w:val="0"/>
          <w:bCs w:val="0"/>
          <w:color w:val="141414"/>
          <w:bdr w:val="none" w:sz="0" w:space="0" w:color="auto" w:frame="1"/>
          <w:lang w:eastAsia="pl-PL"/>
        </w:rPr>
      </w:pPr>
      <w:r w:rsidRPr="009B20E5">
        <w:rPr>
          <w:rStyle w:val="Pogrubienie"/>
          <w:rFonts w:ascii="Arial" w:eastAsia="Times New Roman" w:hAnsi="Arial" w:cs="Arial"/>
          <w:b w:val="0"/>
          <w:bCs w:val="0"/>
          <w:color w:val="141414"/>
          <w:bdr w:val="none" w:sz="0" w:space="0" w:color="auto" w:frame="1"/>
          <w:lang w:eastAsia="pl-PL"/>
        </w:rPr>
        <w:t>przedstawienie inwestorowi argumentów, dlaczego system gaszenia CO</w:t>
      </w:r>
      <w:r w:rsidRPr="009B20E5">
        <w:rPr>
          <w:rStyle w:val="Pogrubienie"/>
          <w:rFonts w:ascii="Arial" w:eastAsia="Times New Roman" w:hAnsi="Arial" w:cs="Arial"/>
          <w:b w:val="0"/>
          <w:bCs w:val="0"/>
          <w:color w:val="141414"/>
          <w:bdr w:val="none" w:sz="0" w:space="0" w:color="auto" w:frame="1"/>
          <w:vertAlign w:val="subscript"/>
          <w:lang w:eastAsia="pl-PL"/>
        </w:rPr>
        <w:t>2</w:t>
      </w:r>
      <w:r w:rsidRPr="009B20E5">
        <w:rPr>
          <w:rStyle w:val="Pogrubienie"/>
          <w:rFonts w:ascii="Arial" w:eastAsia="Times New Roman" w:hAnsi="Arial" w:cs="Arial"/>
          <w:b w:val="0"/>
          <w:bCs w:val="0"/>
          <w:color w:val="141414"/>
          <w:bdr w:val="none" w:sz="0" w:space="0" w:color="auto" w:frame="1"/>
          <w:lang w:eastAsia="pl-PL"/>
        </w:rPr>
        <w:t xml:space="preserve"> może stanowić zagrożenie dla życia personelu oraz zaproponowanie optymalnego rozwiązania</w:t>
      </w:r>
    </w:p>
    <w:p w14:paraId="01D624FA" w14:textId="7DAC8258" w:rsidR="0027270C" w:rsidRDefault="009B20E5" w:rsidP="009B20E5">
      <w:pPr>
        <w:pStyle w:val="Akapitzlist"/>
        <w:numPr>
          <w:ilvl w:val="0"/>
          <w:numId w:val="12"/>
        </w:numPr>
        <w:spacing w:line="240" w:lineRule="auto"/>
        <w:rPr>
          <w:noProof/>
        </w:rPr>
      </w:pPr>
      <w:r w:rsidRPr="009B20E5">
        <w:rPr>
          <w:rStyle w:val="Pogrubienie"/>
          <w:rFonts w:ascii="Arial" w:eastAsia="Times New Roman" w:hAnsi="Arial" w:cs="Arial"/>
          <w:b w:val="0"/>
          <w:bCs w:val="0"/>
          <w:color w:val="141414"/>
          <w:bdr w:val="none" w:sz="0" w:space="0" w:color="auto" w:frame="1"/>
          <w:lang w:eastAsia="pl-PL"/>
        </w:rPr>
        <w:t>zastosowanie na kanale dolotowym rozwłókniacza systemu wykrywania i gaszenia iskier wodą</w:t>
      </w:r>
    </w:p>
    <w:p w14:paraId="5CC00843" w14:textId="77777777" w:rsidR="009B20E5" w:rsidRDefault="009B20E5" w:rsidP="0093444F">
      <w:pPr>
        <w:spacing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70931E8" w14:textId="77777777" w:rsidR="009B20E5" w:rsidRPr="009B20E5" w:rsidRDefault="009B20E5" w:rsidP="009B20E5">
      <w:pPr>
        <w:spacing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9B20E5">
        <w:rPr>
          <w:rFonts w:ascii="Arial" w:eastAsia="Times New Roman" w:hAnsi="Arial" w:cs="Arial"/>
          <w:b/>
          <w:bCs/>
          <w:lang w:eastAsia="pl-PL"/>
        </w:rPr>
        <w:t>Audyt ubezpieczyciela</w:t>
      </w:r>
    </w:p>
    <w:p w14:paraId="4B8F71ED" w14:textId="77777777" w:rsidR="009B20E5" w:rsidRPr="009B20E5" w:rsidRDefault="009B20E5" w:rsidP="009B20E5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9B20E5">
        <w:rPr>
          <w:rFonts w:ascii="Arial" w:eastAsia="Times New Roman" w:hAnsi="Arial" w:cs="Arial"/>
          <w:lang w:eastAsia="pl-PL"/>
        </w:rPr>
        <w:t>System został zaprojektowany i wdrożony przez GRUPĘ WOLFF w polskim zakładzie należącym do międzynarodowego koncernu produkującego kołdry i poduszki. Wcześniej zakład ten został poddany audytowi ubezpieczyciela, który wykazał, że linia rozwłókniania tekstyliów nie zapewnia minimalnego poziomu bezpieczeństwa pożarowego i wybuchowego. Istniało ryzyko, że iskry bądź gorące cząstki zostaną zaciągnięte wraz z surowcem poprzez kanał transportu pneumatycznego do komory rozwłókniacza. Taka sytuacja groziła pożarem lub wybuchem.</w:t>
      </w:r>
    </w:p>
    <w:p w14:paraId="59125DD3" w14:textId="77777777" w:rsidR="009B20E5" w:rsidRPr="009B20E5" w:rsidRDefault="009B20E5" w:rsidP="009B20E5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14:paraId="30A6417E" w14:textId="77777777" w:rsidR="009B20E5" w:rsidRPr="009B20E5" w:rsidRDefault="009B20E5" w:rsidP="009B20E5">
      <w:pPr>
        <w:spacing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9B20E5">
        <w:rPr>
          <w:rFonts w:ascii="Arial" w:eastAsia="Times New Roman" w:hAnsi="Arial" w:cs="Arial"/>
          <w:b/>
          <w:bCs/>
          <w:lang w:eastAsia="pl-PL"/>
        </w:rPr>
        <w:t>Dlaczego nie warto wzorować się na siostrze</w:t>
      </w:r>
    </w:p>
    <w:p w14:paraId="19B9FECE" w14:textId="77777777" w:rsidR="009B20E5" w:rsidRPr="009B20E5" w:rsidRDefault="009B20E5" w:rsidP="009B20E5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9B20E5">
        <w:rPr>
          <w:rFonts w:ascii="Arial" w:eastAsia="Times New Roman" w:hAnsi="Arial" w:cs="Arial"/>
          <w:lang w:eastAsia="pl-PL"/>
        </w:rPr>
        <w:t>W siostrzanym zakładzie zlokalizowanym w Wielkiej Brytanii, skąd pochodzi koncern, do ochrony analogicznego urządzenia zastosowano system gaszenia CO</w:t>
      </w:r>
      <w:r w:rsidRPr="009B20E5">
        <w:rPr>
          <w:rFonts w:ascii="Arial" w:eastAsia="Times New Roman" w:hAnsi="Arial" w:cs="Arial"/>
          <w:vertAlign w:val="subscript"/>
          <w:lang w:eastAsia="pl-PL"/>
        </w:rPr>
        <w:t>2</w:t>
      </w:r>
      <w:r w:rsidRPr="009B20E5">
        <w:rPr>
          <w:rFonts w:ascii="Arial" w:eastAsia="Times New Roman" w:hAnsi="Arial" w:cs="Arial"/>
          <w:lang w:eastAsia="pl-PL"/>
        </w:rPr>
        <w:t>. Rozwiązanie to, choć skuteczne, w przypadku ochrony urządzenia wolnostojącego wiąże się z poważnymi konsekwencjami. Mianowicie przed podaniem gazu, który powoduje obniżenie stężenia tlenu i przy pewnym stężeniu jest toksyczny, należy ewakuować załogę. Opóźnia to reakcję systemu gaszenia oraz wymaga przestoju produkcji.</w:t>
      </w:r>
    </w:p>
    <w:p w14:paraId="0F70F324" w14:textId="77777777" w:rsidR="009B20E5" w:rsidRPr="009B20E5" w:rsidRDefault="009B20E5" w:rsidP="009B20E5">
      <w:pPr>
        <w:spacing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9B20E5">
        <w:rPr>
          <w:rFonts w:ascii="Arial" w:eastAsia="Times New Roman" w:hAnsi="Arial" w:cs="Arial"/>
          <w:b/>
          <w:bCs/>
          <w:lang w:eastAsia="pl-PL"/>
        </w:rPr>
        <w:t>Gaszenie CO</w:t>
      </w:r>
      <w:r w:rsidRPr="009B20E5">
        <w:rPr>
          <w:rFonts w:ascii="Arial" w:eastAsia="Times New Roman" w:hAnsi="Arial" w:cs="Arial"/>
          <w:b/>
          <w:bCs/>
          <w:vertAlign w:val="subscript"/>
          <w:lang w:eastAsia="pl-PL"/>
        </w:rPr>
        <w:t>2</w:t>
      </w:r>
      <w:r w:rsidRPr="009B20E5">
        <w:rPr>
          <w:rFonts w:ascii="Arial" w:eastAsia="Times New Roman" w:hAnsi="Arial" w:cs="Arial"/>
          <w:b/>
          <w:bCs/>
          <w:lang w:eastAsia="pl-PL"/>
        </w:rPr>
        <w:t xml:space="preserve"> a życie ludzkie</w:t>
      </w:r>
    </w:p>
    <w:p w14:paraId="6F49888B" w14:textId="77777777" w:rsidR="009B20E5" w:rsidRPr="009B20E5" w:rsidRDefault="009B20E5" w:rsidP="009B20E5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9B20E5">
        <w:rPr>
          <w:rFonts w:ascii="Arial" w:eastAsia="Times New Roman" w:hAnsi="Arial" w:cs="Arial"/>
          <w:lang w:eastAsia="pl-PL"/>
        </w:rPr>
        <w:t>System gaszenia CO</w:t>
      </w:r>
      <w:r w:rsidRPr="009B20E5">
        <w:rPr>
          <w:rFonts w:ascii="Arial" w:eastAsia="Times New Roman" w:hAnsi="Arial" w:cs="Arial"/>
          <w:vertAlign w:val="subscript"/>
          <w:lang w:eastAsia="pl-PL"/>
        </w:rPr>
        <w:t>2</w:t>
      </w:r>
      <w:r w:rsidRPr="009B20E5">
        <w:rPr>
          <w:rFonts w:ascii="Arial" w:eastAsia="Times New Roman" w:hAnsi="Arial" w:cs="Arial"/>
          <w:lang w:eastAsia="pl-PL"/>
        </w:rPr>
        <w:t xml:space="preserve"> ma sporo zalet i w wielu przypadkach jest najlepszym dostępnym rozwiązaniem. Należy jednak pamiętać, że w strefie gaszenia nie mogą znajdować się ludzie, gdyż może to grozić ich śmiercią. </w:t>
      </w:r>
    </w:p>
    <w:p w14:paraId="73081DD3" w14:textId="77777777" w:rsidR="009B20E5" w:rsidRPr="009B20E5" w:rsidRDefault="009B20E5" w:rsidP="009B20E5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14:paraId="196D260F" w14:textId="77777777" w:rsidR="009B20E5" w:rsidRPr="009B20E5" w:rsidRDefault="009B20E5" w:rsidP="009B20E5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9B20E5">
        <w:rPr>
          <w:rFonts w:ascii="Arial" w:eastAsia="Times New Roman" w:hAnsi="Arial" w:cs="Arial"/>
          <w:lang w:eastAsia="pl-PL"/>
        </w:rPr>
        <w:lastRenderedPageBreak/>
        <w:t>Wpływ na to mają dwa czynniki:</w:t>
      </w:r>
    </w:p>
    <w:p w14:paraId="0B59D16A" w14:textId="77777777" w:rsidR="009B20E5" w:rsidRPr="009B20E5" w:rsidRDefault="009B20E5" w:rsidP="009B20E5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14:paraId="0FC37952" w14:textId="77777777" w:rsidR="009B20E5" w:rsidRPr="009B20E5" w:rsidRDefault="009B20E5" w:rsidP="009B20E5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9B20E5">
        <w:rPr>
          <w:rFonts w:ascii="Arial" w:eastAsia="Times New Roman" w:hAnsi="Arial" w:cs="Arial"/>
          <w:lang w:eastAsia="pl-PL"/>
        </w:rPr>
        <w:t>zasada gaszenia gazami obojętnymi polega na obniżeniu stężenia tlenu w powietrzu,</w:t>
      </w:r>
    </w:p>
    <w:p w14:paraId="5911FFE7" w14:textId="77777777" w:rsidR="009B20E5" w:rsidRPr="009B20E5" w:rsidRDefault="009B20E5" w:rsidP="009B20E5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9B20E5">
        <w:rPr>
          <w:rFonts w:ascii="Arial" w:eastAsia="Times New Roman" w:hAnsi="Arial" w:cs="Arial"/>
          <w:lang w:eastAsia="pl-PL"/>
        </w:rPr>
        <w:t>podwyższone stężenie CO</w:t>
      </w:r>
      <w:r w:rsidRPr="009B20E5">
        <w:rPr>
          <w:rFonts w:ascii="Arial" w:eastAsia="Times New Roman" w:hAnsi="Arial" w:cs="Arial"/>
          <w:vertAlign w:val="subscript"/>
          <w:lang w:eastAsia="pl-PL"/>
        </w:rPr>
        <w:t>2</w:t>
      </w:r>
      <w:r w:rsidRPr="009B20E5">
        <w:rPr>
          <w:rFonts w:ascii="Arial" w:eastAsia="Times New Roman" w:hAnsi="Arial" w:cs="Arial"/>
          <w:lang w:eastAsia="pl-PL"/>
        </w:rPr>
        <w:t xml:space="preserve"> ma działanie toksyczne na organizm ludzki.</w:t>
      </w:r>
    </w:p>
    <w:p w14:paraId="229314D7" w14:textId="77777777" w:rsidR="009B20E5" w:rsidRPr="009B20E5" w:rsidRDefault="009B20E5" w:rsidP="009B20E5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14:paraId="7F93405D" w14:textId="77777777" w:rsidR="009B20E5" w:rsidRPr="009B20E5" w:rsidRDefault="009B20E5" w:rsidP="009B20E5">
      <w:pPr>
        <w:spacing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9B20E5">
        <w:rPr>
          <w:rFonts w:ascii="Arial" w:eastAsia="Times New Roman" w:hAnsi="Arial" w:cs="Arial"/>
          <w:b/>
          <w:bCs/>
          <w:lang w:eastAsia="pl-PL"/>
        </w:rPr>
        <w:t>Wpływ obniżenia stężenia tlenu</w:t>
      </w:r>
    </w:p>
    <w:p w14:paraId="114D9186" w14:textId="77777777" w:rsidR="009B20E5" w:rsidRPr="009B20E5" w:rsidRDefault="009B20E5" w:rsidP="009B20E5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9B20E5">
        <w:rPr>
          <w:rFonts w:ascii="Arial" w:eastAsia="Times New Roman" w:hAnsi="Arial" w:cs="Arial"/>
          <w:lang w:eastAsia="pl-PL"/>
        </w:rPr>
        <w:t>Gaszenie gazem obojętnym wymaga obniżenia stężenia tlenu w powietrzu do minimum 15% obj. Takie stężenie powoduje osłabienie funkcji fizjologicznych i umysłowych człowieka. Gdy stężenie spadnie do 12,5% obj. mamy do czynienia z zagrożeniem życia ludzkiego. W przypadku dalszego spadku stężenia tlenu do ok. 10% obj. człowiek niepostrzeżenie tracić przytomność. Dodatkowo jeśli niedobór tlenu powodowany jest przez gazy obojętne (np. azot, argon, hel itp.), osłabienie funkcji nie jest zauważalne dla poszkodowanego.</w:t>
      </w:r>
    </w:p>
    <w:p w14:paraId="67D47EAB" w14:textId="77777777" w:rsidR="009B20E5" w:rsidRPr="009B20E5" w:rsidRDefault="009B20E5" w:rsidP="009B20E5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9B20E5">
        <w:rPr>
          <w:rFonts w:ascii="Arial" w:eastAsia="Times New Roman" w:hAnsi="Arial" w:cs="Arial"/>
          <w:lang w:eastAsia="pl-PL"/>
        </w:rPr>
        <w:t>W normalnych warunkach stężenie CO</w:t>
      </w:r>
      <w:r w:rsidRPr="009B20E5">
        <w:rPr>
          <w:rFonts w:ascii="Arial" w:eastAsia="Times New Roman" w:hAnsi="Arial" w:cs="Arial"/>
          <w:vertAlign w:val="subscript"/>
          <w:lang w:eastAsia="pl-PL"/>
        </w:rPr>
        <w:t>2</w:t>
      </w:r>
      <w:r w:rsidRPr="009B20E5">
        <w:rPr>
          <w:rFonts w:ascii="Arial" w:eastAsia="Times New Roman" w:hAnsi="Arial" w:cs="Arial"/>
          <w:lang w:eastAsia="pl-PL"/>
        </w:rPr>
        <w:t xml:space="preserve"> w powietrzu wynosi między 0,2 a 0,5%. Gdy jego stężenie wzrośnie do 6% odczuwamy lekką duszność, znużenie oraz obniżenie spostrzegawczości. Przy stężeniu ok. 10% duszność jest znaczna. Pojawiają się omamy i rośnie otępienie, a po kilku minutach następuje zamroczenie. Stężenie CO2 między 10 a 20% powoduje dodatkowo zaburzenia rytmu oddechowego, drgawki, a ostatecznie zgon w wyniku porażenia układu oddechowego. Z kolei nagły wzrost stężenia powyżej 30% wywołuje śmierć na skutek porażenia naczyń krwionośnych mózgu i jego obrzęk.</w:t>
      </w:r>
    </w:p>
    <w:p w14:paraId="1BE99966" w14:textId="77777777" w:rsidR="009B20E5" w:rsidRPr="009B20E5" w:rsidRDefault="009B20E5" w:rsidP="009B20E5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9B20E5">
        <w:rPr>
          <w:rFonts w:ascii="Arial" w:eastAsia="Times New Roman" w:hAnsi="Arial" w:cs="Arial"/>
          <w:lang w:eastAsia="pl-PL"/>
        </w:rPr>
        <w:t>Do skutecznego gaszenia pożaru konieczne jest stężenie CO</w:t>
      </w:r>
      <w:r w:rsidRPr="009B20E5">
        <w:rPr>
          <w:rFonts w:ascii="Arial" w:eastAsia="Times New Roman" w:hAnsi="Arial" w:cs="Arial"/>
          <w:vertAlign w:val="subscript"/>
          <w:lang w:eastAsia="pl-PL"/>
        </w:rPr>
        <w:t>2</w:t>
      </w:r>
      <w:r w:rsidRPr="009B20E5">
        <w:rPr>
          <w:rFonts w:ascii="Arial" w:eastAsia="Times New Roman" w:hAnsi="Arial" w:cs="Arial"/>
          <w:lang w:eastAsia="pl-PL"/>
        </w:rPr>
        <w:t xml:space="preserve"> znacznie przekraczające 30%, poziom ten powinien być osiągnięty w zaledwie kilkudziesięciu sekund.</w:t>
      </w:r>
    </w:p>
    <w:p w14:paraId="6BAE8F21" w14:textId="77777777" w:rsidR="009B20E5" w:rsidRPr="009B20E5" w:rsidRDefault="009B20E5" w:rsidP="009B20E5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14:paraId="22B5E438" w14:textId="77777777" w:rsidR="009B20E5" w:rsidRPr="009B20E5" w:rsidRDefault="009B20E5" w:rsidP="009B20E5">
      <w:pPr>
        <w:spacing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9B20E5">
        <w:rPr>
          <w:rFonts w:ascii="Arial" w:eastAsia="Times New Roman" w:hAnsi="Arial" w:cs="Arial"/>
          <w:b/>
          <w:bCs/>
          <w:lang w:eastAsia="pl-PL"/>
        </w:rPr>
        <w:t>Wybór optymalnego rozwiązania</w:t>
      </w:r>
    </w:p>
    <w:p w14:paraId="4A067355" w14:textId="3BDC0C83" w:rsidR="00E95F10" w:rsidRPr="0027270C" w:rsidRDefault="009B20E5" w:rsidP="009B20E5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9B20E5">
        <w:rPr>
          <w:rFonts w:ascii="Arial" w:eastAsia="Times New Roman" w:hAnsi="Arial" w:cs="Arial"/>
          <w:lang w:eastAsia="pl-PL"/>
        </w:rPr>
        <w:t>Po konsultacjach technicznych ustaliliśmy z przedstawicielem inwestora, że w tym konkretnym przypadku optymalnym rozwiązaniem będzie zastosowanie systemu wykrywania i gaszenia iskier wodą. Po akceptacji rozwiązania przez ubezpieczyciela, zostało ono z powodzeniem wdrożone.</w:t>
      </w:r>
      <w:bookmarkStart w:id="0" w:name="_GoBack"/>
      <w:bookmarkEnd w:id="0"/>
    </w:p>
    <w:sectPr w:rsidR="00E95F10" w:rsidRPr="00272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9AE0C" w14:textId="77777777" w:rsidR="00C037C8" w:rsidRDefault="00C037C8" w:rsidP="00C34EA7">
      <w:pPr>
        <w:spacing w:after="0" w:line="240" w:lineRule="auto"/>
      </w:pPr>
      <w:r>
        <w:separator/>
      </w:r>
    </w:p>
  </w:endnote>
  <w:endnote w:type="continuationSeparator" w:id="0">
    <w:p w14:paraId="59D06427" w14:textId="77777777" w:rsidR="00C037C8" w:rsidRDefault="00C037C8" w:rsidP="00C3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69DFF" w14:textId="77777777" w:rsidR="00C037C8" w:rsidRDefault="00C037C8" w:rsidP="00C34EA7">
      <w:pPr>
        <w:spacing w:after="0" w:line="240" w:lineRule="auto"/>
      </w:pPr>
      <w:r>
        <w:separator/>
      </w:r>
    </w:p>
  </w:footnote>
  <w:footnote w:type="continuationSeparator" w:id="0">
    <w:p w14:paraId="7BFE9470" w14:textId="77777777" w:rsidR="00C037C8" w:rsidRDefault="00C037C8" w:rsidP="00C34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82D18"/>
    <w:multiLevelType w:val="hybridMultilevel"/>
    <w:tmpl w:val="58DE9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26A3D"/>
    <w:multiLevelType w:val="hybridMultilevel"/>
    <w:tmpl w:val="E61A0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16537"/>
    <w:multiLevelType w:val="hybridMultilevel"/>
    <w:tmpl w:val="6EAC5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65"/>
    <w:multiLevelType w:val="hybridMultilevel"/>
    <w:tmpl w:val="3D205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40523"/>
    <w:multiLevelType w:val="hybridMultilevel"/>
    <w:tmpl w:val="7C5A1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1559F"/>
    <w:multiLevelType w:val="hybridMultilevel"/>
    <w:tmpl w:val="D654E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97063"/>
    <w:multiLevelType w:val="hybridMultilevel"/>
    <w:tmpl w:val="A2AC3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705F2"/>
    <w:multiLevelType w:val="hybridMultilevel"/>
    <w:tmpl w:val="805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05C8C"/>
    <w:multiLevelType w:val="hybridMultilevel"/>
    <w:tmpl w:val="72D83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65FBC"/>
    <w:multiLevelType w:val="hybridMultilevel"/>
    <w:tmpl w:val="EC7AA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86643"/>
    <w:multiLevelType w:val="hybridMultilevel"/>
    <w:tmpl w:val="B066A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81F26"/>
    <w:multiLevelType w:val="hybridMultilevel"/>
    <w:tmpl w:val="55DE9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60B11"/>
    <w:multiLevelType w:val="hybridMultilevel"/>
    <w:tmpl w:val="76AE8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1"/>
  </w:num>
  <w:num w:numId="5">
    <w:abstractNumId w:val="5"/>
  </w:num>
  <w:num w:numId="6">
    <w:abstractNumId w:val="6"/>
  </w:num>
  <w:num w:numId="7">
    <w:abstractNumId w:val="3"/>
  </w:num>
  <w:num w:numId="8">
    <w:abstractNumId w:val="12"/>
  </w:num>
  <w:num w:numId="9">
    <w:abstractNumId w:val="9"/>
  </w:num>
  <w:num w:numId="10">
    <w:abstractNumId w:val="1"/>
  </w:num>
  <w:num w:numId="11">
    <w:abstractNumId w:val="8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6F"/>
    <w:rsid w:val="00142659"/>
    <w:rsid w:val="0027270C"/>
    <w:rsid w:val="003619CD"/>
    <w:rsid w:val="0039726F"/>
    <w:rsid w:val="0067136F"/>
    <w:rsid w:val="00731C35"/>
    <w:rsid w:val="008223A1"/>
    <w:rsid w:val="0093444F"/>
    <w:rsid w:val="009B20E5"/>
    <w:rsid w:val="00A72B6A"/>
    <w:rsid w:val="00B1100D"/>
    <w:rsid w:val="00C037C8"/>
    <w:rsid w:val="00C176A4"/>
    <w:rsid w:val="00C34EA7"/>
    <w:rsid w:val="00D477ED"/>
    <w:rsid w:val="00E95F10"/>
    <w:rsid w:val="00F2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06E61"/>
  <w15:chartTrackingRefBased/>
  <w15:docId w15:val="{630BF506-F008-4468-B923-1EEC29A8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2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972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9726F"/>
    <w:rPr>
      <w:b/>
      <w:bCs/>
    </w:rPr>
  </w:style>
  <w:style w:type="paragraph" w:styleId="Akapitzlist">
    <w:name w:val="List Paragraph"/>
    <w:basedOn w:val="Normalny"/>
    <w:uiPriority w:val="34"/>
    <w:qFormat/>
    <w:rsid w:val="003972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EA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34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E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9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BEF9E-1E06-4FF5-BCA4-3181AB05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Grupa Wolff L3</dc:creator>
  <cp:keywords/>
  <dc:description/>
  <cp:lastModifiedBy>Grupa Wolff L3</cp:lastModifiedBy>
  <cp:revision>4</cp:revision>
  <dcterms:created xsi:type="dcterms:W3CDTF">2020-01-30T08:53:00Z</dcterms:created>
  <dcterms:modified xsi:type="dcterms:W3CDTF">2020-01-30T09:10:00Z</dcterms:modified>
</cp:coreProperties>
</file>